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58073B">
        <w:rPr>
          <w:b/>
          <w:color w:val="000000"/>
          <w:lang w:val="bg-BG"/>
        </w:rPr>
        <w:t>143/20.03.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по чл. 34, ал. 6 и 8 от ЗСПЗЗЗ, неизплатени суми</w:t>
      </w:r>
      <w:bookmarkStart w:id="0" w:name="_GoBack"/>
      <w:bookmarkEnd w:id="0"/>
      <w:r w:rsidRPr="00EC599F">
        <w:rPr>
          <w:sz w:val="22"/>
          <w:szCs w:val="22"/>
          <w:lang w:val="bg-BG"/>
        </w:rPr>
        <w:t xml:space="preserve">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A3B7C"/>
    <w:rsid w:val="004E7875"/>
    <w:rsid w:val="005356E7"/>
    <w:rsid w:val="0058073B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</vt:lpstr>
    </vt:vector>
  </TitlesOfParts>
  <Company>MZG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ODZ-DPF</cp:lastModifiedBy>
  <cp:revision>3</cp:revision>
  <cp:lastPrinted>2020-06-04T14:04:00Z</cp:lastPrinted>
  <dcterms:created xsi:type="dcterms:W3CDTF">2020-06-02T10:45:00Z</dcterms:created>
  <dcterms:modified xsi:type="dcterms:W3CDTF">2020-06-04T14:05:00Z</dcterms:modified>
</cp:coreProperties>
</file>